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F262" w14:textId="731F48DB" w:rsidR="00A97269" w:rsidRDefault="00A97269" w:rsidP="00A97269">
      <w:pPr>
        <w:pStyle w:val="NormaleWeb"/>
        <w:spacing w:before="0" w:beforeAutospacing="0" w:after="540" w:afterAutospacing="0"/>
        <w:rPr>
          <w:rFonts w:ascii="Titillium Web" w:hAnsi="Titillium Web"/>
          <w:color w:val="444E57"/>
          <w:spacing w:val="1"/>
          <w:sz w:val="27"/>
          <w:szCs w:val="27"/>
        </w:rPr>
      </w:pPr>
      <w:r>
        <w:rPr>
          <w:rFonts w:ascii="Titillium Web" w:hAnsi="Titillium Web"/>
          <w:color w:val="444E57"/>
          <w:spacing w:val="1"/>
          <w:sz w:val="27"/>
          <w:szCs w:val="27"/>
        </w:rPr>
        <w:t>Gli Ordini professionali non sono tenuti alla nomina dell'Organismo Interno di Valutazione conformemente alle disposizioni del </w:t>
      </w:r>
      <w:r w:rsidRPr="00A97269">
        <w:rPr>
          <w:rFonts w:ascii="Titillium Web" w:hAnsi="Titillium Web"/>
          <w:color w:val="444E57"/>
          <w:spacing w:val="1"/>
          <w:sz w:val="27"/>
          <w:szCs w:val="27"/>
        </w:rPr>
        <w:t xml:space="preserve">D.L. 31 </w:t>
      </w:r>
      <w:proofErr w:type="gramStart"/>
      <w:r w:rsidRPr="00A97269">
        <w:rPr>
          <w:rFonts w:ascii="Titillium Web" w:hAnsi="Titillium Web"/>
          <w:color w:val="444E57"/>
          <w:spacing w:val="1"/>
          <w:sz w:val="27"/>
          <w:szCs w:val="27"/>
        </w:rPr>
        <w:t>Agosto</w:t>
      </w:r>
      <w:proofErr w:type="gramEnd"/>
      <w:r w:rsidRPr="00A97269">
        <w:rPr>
          <w:rFonts w:ascii="Titillium Web" w:hAnsi="Titillium Web"/>
          <w:color w:val="444E57"/>
          <w:spacing w:val="1"/>
          <w:sz w:val="27"/>
          <w:szCs w:val="27"/>
        </w:rPr>
        <w:t xml:space="preserve"> 2013 N. 101</w:t>
      </w:r>
      <w:r>
        <w:rPr>
          <w:rFonts w:ascii="Titillium Web" w:hAnsi="Titillium Web"/>
          <w:color w:val="444E57"/>
          <w:spacing w:val="1"/>
          <w:sz w:val="27"/>
          <w:szCs w:val="27"/>
        </w:rPr>
        <w:t>, così come modificato dalla </w:t>
      </w:r>
      <w:r w:rsidRPr="00A97269">
        <w:rPr>
          <w:rFonts w:ascii="Titillium Web" w:hAnsi="Titillium Web"/>
          <w:color w:val="444E57"/>
          <w:spacing w:val="1"/>
          <w:sz w:val="27"/>
          <w:szCs w:val="27"/>
        </w:rPr>
        <w:t>L. 30 ottobre 2013 N. 125</w:t>
      </w:r>
      <w:r>
        <w:rPr>
          <w:rFonts w:ascii="Titillium Web" w:hAnsi="Titillium Web"/>
          <w:color w:val="444E57"/>
          <w:spacing w:val="1"/>
          <w:sz w:val="27"/>
          <w:szCs w:val="27"/>
        </w:rPr>
        <w:t>.</w:t>
      </w:r>
    </w:p>
    <w:p w14:paraId="30E08DBE" w14:textId="77777777" w:rsidR="00A97269" w:rsidRDefault="00A97269" w:rsidP="00A97269">
      <w:pPr>
        <w:pStyle w:val="NormaleWeb"/>
        <w:spacing w:before="0" w:beforeAutospacing="0" w:after="540" w:afterAutospacing="0"/>
        <w:rPr>
          <w:rFonts w:ascii="Titillium Web" w:hAnsi="Titillium Web"/>
          <w:color w:val="444E57"/>
          <w:spacing w:val="1"/>
          <w:sz w:val="27"/>
          <w:szCs w:val="27"/>
        </w:rPr>
      </w:pPr>
      <w:r>
        <w:rPr>
          <w:rFonts w:ascii="Titillium Web" w:hAnsi="Titillium Web"/>
          <w:color w:val="444E57"/>
          <w:spacing w:val="1"/>
          <w:sz w:val="27"/>
          <w:szCs w:val="27"/>
        </w:rPr>
        <w:t>Nello specifico, il suddetto decreto all'articolo 2 comma 2-bis sancisce che &lt;&lt;</w:t>
      </w:r>
      <w:r>
        <w:rPr>
          <w:rStyle w:val="Enfasicorsivo"/>
          <w:rFonts w:ascii="Titillium Web" w:hAnsi="Titillium Web"/>
          <w:color w:val="444E57"/>
          <w:spacing w:val="1"/>
          <w:sz w:val="27"/>
          <w:szCs w:val="27"/>
        </w:rPr>
        <w:t>Gli ordini, i collegi professionali, i relativi organismi nazionali e gli enti aventi natura associativa, con propri regolamenti, si adeguano, tenendo conto delle relative peculiarità, ai principi del decreto legislativo 30 marzo 2001, n. 165, ad eccezione dell’articolo 4, del decreto legislativo 27 ottobre 2009, n. 150, ad eccezione dell’articolo 14 nonché delle disposizioni di cui al titolo III, e ai principi generali di razionalizzazione e contenimento della spesa, in quanto non gravanti sulla finanza pubblica.&gt;&gt;</w:t>
      </w:r>
    </w:p>
    <w:p w14:paraId="31AA7A7B" w14:textId="305408B7" w:rsidR="00A97269" w:rsidRDefault="00A97269" w:rsidP="00A97269">
      <w:pPr>
        <w:pStyle w:val="NormaleWeb"/>
        <w:spacing w:before="0" w:beforeAutospacing="0" w:after="540" w:afterAutospacing="0"/>
        <w:rPr>
          <w:rFonts w:ascii="Titillium Web" w:hAnsi="Titillium Web"/>
          <w:color w:val="444E57"/>
          <w:spacing w:val="1"/>
          <w:sz w:val="27"/>
          <w:szCs w:val="27"/>
        </w:rPr>
      </w:pPr>
      <w:r>
        <w:rPr>
          <w:rStyle w:val="Enfasigrassetto"/>
          <w:rFonts w:ascii="Titillium Web" w:hAnsi="Titillium Web"/>
          <w:color w:val="444E57"/>
          <w:spacing w:val="1"/>
          <w:sz w:val="27"/>
          <w:szCs w:val="27"/>
        </w:rPr>
        <w:t xml:space="preserve">Nell'Ordine dei Medici Chirurghi e degli Odontoiatri della provincia di </w:t>
      </w:r>
      <w:r>
        <w:rPr>
          <w:rStyle w:val="Enfasigrassetto"/>
          <w:rFonts w:ascii="Titillium Web" w:hAnsi="Titillium Web"/>
          <w:color w:val="444E57"/>
          <w:spacing w:val="1"/>
          <w:sz w:val="27"/>
          <w:szCs w:val="27"/>
        </w:rPr>
        <w:t>Reggio Emilia</w:t>
      </w:r>
      <w:r>
        <w:rPr>
          <w:rStyle w:val="Enfasigrassetto"/>
          <w:rFonts w:ascii="Titillium Web" w:hAnsi="Titillium Web"/>
          <w:color w:val="444E57"/>
          <w:spacing w:val="1"/>
          <w:sz w:val="27"/>
          <w:szCs w:val="27"/>
        </w:rPr>
        <w:t xml:space="preserve"> il Responsabile della prevenzione della corruzione e della trasparenza, Dott. </w:t>
      </w:r>
      <w:r>
        <w:rPr>
          <w:rStyle w:val="Enfasigrassetto"/>
          <w:rFonts w:ascii="Titillium Web" w:hAnsi="Titillium Web"/>
          <w:color w:val="444E57"/>
          <w:spacing w:val="1"/>
          <w:sz w:val="27"/>
          <w:szCs w:val="27"/>
        </w:rPr>
        <w:t xml:space="preserve">Simone Montanari </w:t>
      </w:r>
      <w:r>
        <w:rPr>
          <w:rStyle w:val="Enfasigrassetto"/>
          <w:rFonts w:ascii="Titillium Web" w:hAnsi="Titillium Web"/>
          <w:color w:val="444E57"/>
          <w:spacing w:val="1"/>
          <w:sz w:val="27"/>
          <w:szCs w:val="27"/>
        </w:rPr>
        <w:t>svolge funzioni analoghe all'OIV per quanto attiene la verifica dell'assolvimento degli obblighi di pubblicazione ai sensi dell'articolo 14 comma 4 lettera g) del D.lgs 150/2009. </w:t>
      </w:r>
    </w:p>
    <w:p w14:paraId="693B0030" w14:textId="77777777" w:rsidR="00F21266" w:rsidRDefault="00F21266"/>
    <w:sectPr w:rsidR="00F212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9"/>
    <w:rsid w:val="00A97269"/>
    <w:rsid w:val="00F21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5DC3"/>
  <w15:chartTrackingRefBased/>
  <w15:docId w15:val="{E854DD79-E6EC-4ED4-97C8-EB76F6C3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72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97269"/>
    <w:rPr>
      <w:color w:val="0000FF"/>
      <w:u w:val="single"/>
    </w:rPr>
  </w:style>
  <w:style w:type="character" w:styleId="Enfasicorsivo">
    <w:name w:val="Emphasis"/>
    <w:basedOn w:val="Carpredefinitoparagrafo"/>
    <w:uiPriority w:val="20"/>
    <w:qFormat/>
    <w:rsid w:val="00A97269"/>
    <w:rPr>
      <w:i/>
      <w:iCs/>
    </w:rPr>
  </w:style>
  <w:style w:type="character" w:styleId="Enfasigrassetto">
    <w:name w:val="Strong"/>
    <w:basedOn w:val="Carpredefinitoparagrafo"/>
    <w:uiPriority w:val="22"/>
    <w:qFormat/>
    <w:rsid w:val="00A97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2024-06-04T06:36:00Z</dcterms:created>
  <dcterms:modified xsi:type="dcterms:W3CDTF">2024-06-04T06:37:00Z</dcterms:modified>
</cp:coreProperties>
</file>